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t>原油市场通用商品期货分析框架评估</w:t>
      </w:r>
      <w:bookmarkEnd w:id="0"/>
      <w:r>
        <w:t>（2026年6月）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评估基准日：2026年6月7日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数据来源：EIA、IEA、OPEC月报、央视、财新、野村证券、高盛、东吴证券等公开市场信息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第一维：核心矛盾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当前驱动价格的最主要矛盾：地缘政治供应中断（霍尔木兹海峡关闭）与宏观货币政策收紧之间的博弈，供应冲击占据绝对主导。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表格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832"/>
        <w:gridCol w:w="6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维度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关键事实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数据/来源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霍尔木兹海峡关闭造成全球总供应损失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自2026年2月以来累计损失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1280万桶/日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；全球石油供应4月降至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9510万桶/日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（环比下降180万桶/日）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OPEC+产量政策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2026年Q1暂停增产，但2025年累计增产约270万桶/日；预计2026年OPEC+产量下降470万桶/日（受地缘及合规影响）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美国产量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4月达到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2190万桶/日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历史新高，预计2026年增加61万桶/日；非OPEC+增产82万桶/日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需求端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全球需求增长预期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OPEC下调2025-2026年需求增长预测至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130万桶/日/年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（此前约140万桶/日）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炼油加工量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2026年全球炼油厂加工量预计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下降160万桶/日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（受供应减少及经济放缓影响）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库存消耗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中东战争导致3-4月全球库存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减少2.46亿桶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；EIA预计2026年全球库存变化为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-252万桶/日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（供不应求）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宏观端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美联储政策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沃什5月22日就任美联储主席；野村5月22日预计2026年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不降息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（此前预期9月、12月各降25bp）；高盛将降息预测推迟至12月及2027年3月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中美贸易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2026年5月，中美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91%关税相互取消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，为全球贸易注入稳定性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全球增长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野村预计2026年全球经济增长强劲（AI驱动），但新兴市场受中东冲突、高利率拖累降至4.0%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核心矛盾判定：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当前油价由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供应端地缘冲击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一主导。霍尔木兹海峡关闭造成的1280万桶/日损失规模远超历史任何一次供应中断（包括海湾战争、利比亚内战），而OPEC+暂停增产及美国增产无法弥补该缺口。EIA预测2026年库存变化为-252万桶/日，验证市场处于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实质性短缺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状态。宏观层面的美联储鹰派姿态（不降息预期）对油价形成压制，但尚不足以抵消供应冲击。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第二维：计价程度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利多计价：约80-85%已被定价；利空计价：约60-70%已被定价。</w:t>
      </w:r>
    </w:p>
    <w:p>
      <w:pPr>
        <w:pStyle w:val="4"/>
        <w:keepNext w:val="0"/>
        <w:keepLines w:val="0"/>
        <w:widowControl/>
        <w:suppressLineNumbers w:val="0"/>
      </w:pPr>
      <w:r>
        <w:t>利多因素计价评估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表格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611"/>
        <w:gridCol w:w="62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利多因素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计价程度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评估依据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霍尔木兹海峡关闭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高度计价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WTI从2025年10月的62美元/桶升至2026年6月初的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87-90美元/桶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，涨幅约45%；布伦特突破92美元/桶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美伊军事冲突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高度计价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6月2-3日美伊爆发4月8日停火以来最严重冲突，油价创近一个月最大单日涨幅；6月4日伊朗袭击科威特机场、巴林美军基地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EIA库存骤降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部分计价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5月29日当周美国原油库存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下降797.4万桶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，超市场预期，但市场更关注海峡通航而非单周库存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OPEC+暂停增产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2025年12月已宣布2026年Q1暂停增产，市场提前消化；但2025年累计增产270万桶/日的滞后效应仍存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以黎冲突/以色列-真主党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部分计价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6月5日以黎签署停火协议，但黎境内战斗持续，伊朗坚持要求黎战线停火作为美伊协议前提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  <w:r>
        <w:t>利空因素计价评估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表格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5"/>
        <w:gridCol w:w="1297"/>
        <w:gridCol w:w="49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利空因素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计价程度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评估依据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全球炼油加工量下降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部分计价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IEA预计2026年加工量下降160万桶/日，但市场当前交易逻辑为"有油运不出来"而非"需求不足"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非OPEC+增产（美、巴西、圭亚那）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美国2190万桶/日产量已充分反映在市场预期中，且增量无法弥补海峡损失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美联储不降息/高利率压制需求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部分计价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美元强势对大宗商品形成系统性压制，但油价在地缘冲击下逆势上涨，显示宏观利空被部分对冲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全球能源转型/电动车替代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长期计价，短期忽略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中国新能源汽车替代导致原油消费增长放缓，但当前市场聚焦月度甚至日度供应中断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  <w:r>
        <w:t>未被发现的"金矿"（潜在定价偏差）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海峡恢复通航后的溢价回吐速度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：当前市场假设海峡关闭是"持久战"，但若美伊60天停火延长协议达成并实际恢复通航（特朗普6月3日称"协议可能本周末达成"），地缘溢价可能以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快于市场预期的速度消退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。6月5日以黎停火协议已引发多头获利离场、油价大幅回落。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美联储"善意忽视"油价通胀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：沃什曾提出AI驱动通缩力量，若美联储对油价引发的临时性通胀采取"善意忽视"策略，实际降息时点可能早于当前市场预期的12月。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中国需求政策弹性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：中美91%关税取消后，若中国出台额外财政刺激提振制造业和出行需求，可能在全球炼油加工量下降的背景下形成边际增量。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第三维：情景推演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表格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336"/>
        <w:gridCol w:w="5028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情景路径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价格区间（布伦特）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触发条件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概率评估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路径A：地缘缓和，溢价回落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75-82美元/桶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美伊达成60天停火延长协议；霍尔木兹海峡逐步恢复通航（需扫雷清理）；以黎停火实际执行；OPEC+维持不增产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路径B：高位震荡，边打边谈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85-95美元/桶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美伊谈判"谈不拢、打不停"（如当前状态）；海峡通航量维持低位（日均&lt;&lt;10艘次）；EIA库存持续下降；美联储维持利率不变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路径C：供应危机升级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100-120美元/桶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伊朗彻底封锁霍尔木兹海峡（目前为"管理/限制"而非完全关闭）；美伊谈判破裂；以色列地面进攻伊朗核设施；沙特石油设施遭袭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路径D：宏观衰退主导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65-75美元/桶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美联储因通胀飙升意外加息；全球制造业PMI跌破荣枯线；海峡意外快速恢复且OPEC+重启增产；全球库存转向累库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关键触发条件监测：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6月内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：美伊谅解备忘录是否最终签署（涉及60天停火、海峡开放、250亿美元资产解冻）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7-8月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：北半球夏季需求峰值与海峡通航恢复节奏的匹配度；若夏季需求旺季叠加海峡关闭，库存消耗速度将决定Q3价格上限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9-12月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：美联储是否如高盛预期在12月启动降息；OPEC+是否重启2026年Q2-Q4增产计划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第四维：产业校准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产业微观"哨兵指标"及验证逻辑：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表格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4"/>
        <w:gridCol w:w="3200"/>
        <w:gridCol w:w="3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哨兵指标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当前状态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验证/推翻假设的逻辑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霍尔木兹海峡通航量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6月3日通航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7艘次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（同比下降94%，环比下降30%）；原油船0艘次、成品油船2艘次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若通航量恢复至50艘次/日以上且维持一周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，则推翻"持续供应中断"假设，支持路径A；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若持续&lt;&lt;10艘次/日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，则验证路径B/C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EIA美国原油库存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5月29日当周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-797.4万桶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；库欣库存历史低位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若连续3周下降&gt;500万桶/周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，验证全球短缺；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若转向累库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，则暗示需求端或替代供应（如战略储备释放）正在填补缺口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美国炼油厂开工率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美国炼油厂开工率持续偏强，柴油供需矛盾未显著冲击市场（2024年12月数据，需关注最新）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若开工率从当前高位回落&gt;5%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，验证需求走弱；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若维持&gt;90%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，证明需求韧性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OPEC+产量合规率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补偿性减产计划持续至2026年6月，月度减产18.9-43.5万桶/日；但伊拉克、哈萨克斯坦历史超产问题仍存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若6月会议后实际产量低于配额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，验证组织纪律性，支撑油价；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若超产国再次违约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，推翻OPEC+控价能力假设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美伊谈判实质性进展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伊朗6月4日称谈判"未取得实质性进展"；特朗普称"协议可能本周末达成"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若伊朗官方确认接受谅解备忘录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，触发路径A；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若伊朗袭击升级至沙特/阿联酋设施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，触发路径C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全球石油库存（IEA/OPEC月报）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3-4月减少2.46亿桶；EIA预测2026年-252万桶/日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若5-6月库存继续下降&gt;1亿桶/月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，验证路径B/C；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若库存走平或回升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，支持路径A/D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校准结论：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当前市场处于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高频地缘信息主导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的低信噪比环境。产业层面的真实供需（库存、开工率、通航量）与金融层面的预期（美联储政策、美元走势）存在明显时滞。建议以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霍尔木兹海峡通航量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作为第一优先级验证指标，以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EIA库存连续变化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作为第二优先级，两者结合可在大约2-4周内确认当前85-95美元区间的合理性，或提示向路径A/C切换的风险。</w:t>
      </w:r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免责声明：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以上分析基于2026年6月7日前公开市场可获取数据，不构成投资建议。地缘冲突及央行政策具有高度不确定性，需持续跟踪验证。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ED8DA"/>
    <w:multiLevelType w:val="multilevel"/>
    <w:tmpl w:val="016ED8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BEF23FD"/>
    <w:multiLevelType w:val="multilevel"/>
    <w:tmpl w:val="1BEF23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6A30"/>
    <w:rsid w:val="0563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2026-06-07T02:15:00Z</dcterms:created>
  <dc:creator>阳博</dc:creator>
  <cp:lastModifiedBy>阳博</cp:lastModifiedBy>
  <dcterms:modified xsi:type="dcterms:W3CDTF">2026-06-07T02:16:00Z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33C3A699CBFD4525BA4B3CB6B0D5E367_11</vt:lpwstr>
  </property>
</Properties>
</file>